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D5" w:rsidRDefault="005D64D5" w:rsidP="005D64D5">
      <w:pPr>
        <w:pStyle w:val="Standard"/>
        <w:jc w:val="center"/>
      </w:pPr>
      <w:r>
        <w:rPr>
          <w:b/>
          <w:bCs/>
          <w:noProof/>
          <w:color w:val="333333"/>
          <w:spacing w:val="2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72F45EA" wp14:editId="4B99FC39">
            <wp:simplePos x="0" y="0"/>
            <wp:positionH relativeFrom="character">
              <wp:posOffset>2693164</wp:posOffset>
            </wp:positionH>
            <wp:positionV relativeFrom="paragraph">
              <wp:posOffset>-2523</wp:posOffset>
            </wp:positionV>
            <wp:extent cx="456477" cy="456477"/>
            <wp:effectExtent l="0" t="0" r="723" b="723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 l="-156" t="-156" r="-156" b="-156"/>
                    <a:stretch>
                      <a:fillRect/>
                    </a:stretch>
                  </pic:blipFill>
                  <pic:spPr>
                    <a:xfrm>
                      <a:off x="0" y="0"/>
                      <a:ext cx="456477" cy="45647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 ПРОЕКТ</w:t>
      </w:r>
    </w:p>
    <w:p w:rsidR="005D64D5" w:rsidRDefault="005D64D5" w:rsidP="005D64D5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:rsidR="005D64D5" w:rsidRDefault="005D64D5" w:rsidP="005D64D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5D64D5" w:rsidRDefault="005D64D5" w:rsidP="005D64D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:rsidR="005D64D5" w:rsidRDefault="005D64D5" w:rsidP="005D64D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:rsidR="005D64D5" w:rsidRDefault="005D64D5" w:rsidP="005D64D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:rsidR="005D64D5" w:rsidRDefault="005D64D5" w:rsidP="005D64D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5D64D5" w:rsidRDefault="005D64D5" w:rsidP="005D64D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5D64D5" w:rsidRDefault="005D64D5" w:rsidP="005D64D5">
      <w:pPr>
        <w:pStyle w:val="Standard"/>
        <w:jc w:val="both"/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:rsidR="005D64D5" w:rsidRDefault="005D64D5" w:rsidP="005D64D5">
      <w:pPr>
        <w:pStyle w:val="a3"/>
        <w:widowControl w:val="0"/>
        <w:jc w:val="center"/>
      </w:pPr>
      <w:r>
        <w:rPr>
          <w:b/>
          <w:bCs/>
        </w:rPr>
        <w:t xml:space="preserve">о предоставлении разрешения </w:t>
      </w:r>
      <w:r>
        <w:rPr>
          <w:b/>
          <w:bCs/>
          <w:shd w:val="clear" w:color="auto" w:fill="FFFFFF"/>
        </w:rPr>
        <w:t>на условно разрешенный вид использования земельного участка или объекта</w:t>
      </w:r>
    </w:p>
    <w:p w:rsidR="005D64D5" w:rsidRDefault="005D64D5" w:rsidP="005D64D5">
      <w:pPr>
        <w:pStyle w:val="a3"/>
        <w:widowControl w:val="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капитального строительства</w:t>
      </w:r>
    </w:p>
    <w:p w:rsidR="005D64D5" w:rsidRDefault="005D64D5" w:rsidP="005D64D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5D64D5" w:rsidRDefault="005D64D5" w:rsidP="005D64D5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:rsidR="005D64D5" w:rsidRDefault="005D64D5" w:rsidP="005D64D5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   «___» ______ 20__ г.     </w:t>
      </w:r>
    </w:p>
    <w:p w:rsidR="005D64D5" w:rsidRDefault="005D64D5" w:rsidP="005D64D5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5D64D5" w:rsidRDefault="005D64D5" w:rsidP="005D64D5">
      <w:pPr>
        <w:pStyle w:val="Standard"/>
        <w:ind w:right="113" w:firstLine="680"/>
        <w:jc w:val="both"/>
      </w:pPr>
      <w:r>
        <w:rPr>
          <w:color w:val="1C1C1C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Девицкого сельского поселения Семилукского муниципального района Воронежской области, </w:t>
      </w:r>
      <w:hyperlink r:id="rId5" w:history="1">
        <w:r>
          <w:rPr>
            <w:color w:val="333333"/>
            <w:sz w:val="27"/>
            <w:szCs w:val="27"/>
            <w:shd w:val="clear" w:color="auto" w:fill="FFFFFF"/>
            <w:lang w:eastAsia="ru-RU"/>
          </w:rPr>
          <w:t>утвержденным приказом департамента архитектуры и градостроительства Воронежской области от 12.01.2023 № 45-01-04/5 (в ред. Приказа Минархитектуры и градостроительства ВО от 26.02.2024 № 45-01-04/61),</w:t>
        </w:r>
      </w:hyperlink>
      <w:r>
        <w:rPr>
          <w:color w:val="1C1C1C"/>
          <w:sz w:val="28"/>
          <w:szCs w:val="28"/>
        </w:rPr>
        <w:t xml:space="preserve"> на основании заявления Костюкова Сергея Игоревича от 15.04.2024 № 2758, заключения по результатам публичных слушаний от «__»_____20__г., рекомендаций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1C1C1C"/>
          <w:sz w:val="28"/>
          <w:szCs w:val="28"/>
          <w:shd w:val="clear" w:color="auto" w:fill="FFFFFF"/>
        </w:rPr>
        <w:t>айона Воронежской области» от «___»____20__г. №____:</w:t>
      </w:r>
    </w:p>
    <w:p w:rsidR="005D64D5" w:rsidRDefault="005D64D5" w:rsidP="005D64D5">
      <w:pPr>
        <w:pStyle w:val="a3"/>
        <w:widowControl w:val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1.Предоставить Костюкову Сергею Игоревичу разрешение на условно </w:t>
      </w:r>
      <w:r>
        <w:rPr>
          <w:shd w:val="clear" w:color="auto" w:fill="FFFFFF"/>
        </w:rPr>
        <w:lastRenderedPageBreak/>
        <w:t>разрешенный вид использования земельного участка «хранение и переработка сельскохозяйственной продукции» код (ВРИ 1.15) в отношении земельного участка с кадастровым номером 36:28:0500007:33, площадью 5505 кв.м, с основным видом разрешенного использования «для сельскохозяйственного использования», расположенного по адресу: Воронежская область, Семилукский район, п. Орлов Лог, ул. Меловая, №9б/1 в территориальной зоне СХ1/3 (зона сельскохозяйственного использования в границах населенного пункта села Старое).</w:t>
      </w:r>
    </w:p>
    <w:p w:rsidR="005D64D5" w:rsidRDefault="005D64D5" w:rsidP="005D64D5">
      <w:pPr>
        <w:pStyle w:val="a3"/>
        <w:widowControl w:val="0"/>
        <w:ind w:firstLine="720"/>
        <w:jc w:val="both"/>
      </w:pPr>
      <w:r>
        <w:rPr>
          <w:shd w:val="clear" w:color="auto" w:fill="FFFFFF"/>
        </w:rPr>
        <w:t>2.Опубликовать настоящее р</w:t>
      </w:r>
      <w:r>
        <w:t>ешение в порядке, установленном для официального опубликования муниципальных правовых актов и иной информации.</w:t>
      </w:r>
    </w:p>
    <w:p w:rsidR="005D64D5" w:rsidRDefault="005D64D5" w:rsidP="005D64D5">
      <w:pPr>
        <w:pStyle w:val="a3"/>
        <w:widowControl w:val="0"/>
        <w:ind w:firstLine="720"/>
        <w:jc w:val="both"/>
      </w:pPr>
      <w:r>
        <w:t>3.Настоящее решение вступает в силу со дня его официального опубликования.</w:t>
      </w:r>
    </w:p>
    <w:p w:rsidR="005D64D5" w:rsidRDefault="005D64D5" w:rsidP="005D64D5">
      <w:pPr>
        <w:pStyle w:val="a3"/>
        <w:widowControl w:val="0"/>
        <w:ind w:firstLine="720"/>
        <w:jc w:val="both"/>
      </w:pPr>
      <w:r>
        <w:t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М.О. Ягодкину.</w:t>
      </w:r>
    </w:p>
    <w:p w:rsidR="005D64D5" w:rsidRDefault="005D64D5" w:rsidP="005D64D5">
      <w:pPr>
        <w:pStyle w:val="a3"/>
        <w:widowControl w:val="0"/>
        <w:spacing w:line="360" w:lineRule="auto"/>
        <w:ind w:firstLine="720"/>
        <w:jc w:val="both"/>
      </w:pPr>
    </w:p>
    <w:p w:rsidR="005D64D5" w:rsidRDefault="005D64D5" w:rsidP="005D64D5">
      <w:pPr>
        <w:pStyle w:val="a3"/>
        <w:widowControl w:val="0"/>
        <w:ind w:firstLine="720"/>
        <w:jc w:val="both"/>
      </w:pPr>
    </w:p>
    <w:p w:rsidR="005D64D5" w:rsidRDefault="005D64D5" w:rsidP="005D64D5">
      <w:pPr>
        <w:pStyle w:val="a3"/>
        <w:widowControl w:val="0"/>
        <w:ind w:firstLine="720"/>
        <w:jc w:val="both"/>
      </w:pPr>
      <w:r>
        <w:t>Глава администрации</w:t>
      </w:r>
    </w:p>
    <w:p w:rsidR="005D64D5" w:rsidRDefault="005D64D5" w:rsidP="005D64D5">
      <w:pPr>
        <w:pStyle w:val="a3"/>
        <w:widowControl w:val="0"/>
        <w:jc w:val="both"/>
      </w:pPr>
      <w:r>
        <w:t xml:space="preserve">Семилукского муниципального района </w:t>
      </w:r>
      <w:r>
        <w:tab/>
        <w:t xml:space="preserve">          </w:t>
      </w:r>
      <w:r>
        <w:tab/>
      </w:r>
      <w:r>
        <w:tab/>
      </w:r>
      <w:r>
        <w:tab/>
        <w:t>Г.Ю. Швырков</w:t>
      </w:r>
    </w:p>
    <w:p w:rsidR="005D64D5" w:rsidRDefault="005D64D5" w:rsidP="005D64D5">
      <w:pPr>
        <w:pStyle w:val="Standard"/>
        <w:widowControl w:val="0"/>
        <w:rPr>
          <w:sz w:val="28"/>
          <w:szCs w:val="28"/>
        </w:rPr>
      </w:pPr>
    </w:p>
    <w:p w:rsidR="005D64D5" w:rsidRDefault="005D64D5" w:rsidP="005D64D5">
      <w:pPr>
        <w:pStyle w:val="Standard"/>
        <w:widowControl w:val="0"/>
        <w:rPr>
          <w:color w:val="1C1C1C"/>
          <w:sz w:val="28"/>
          <w:szCs w:val="28"/>
        </w:rPr>
      </w:pPr>
    </w:p>
    <w:p w:rsidR="005D64D5" w:rsidRDefault="005D64D5" w:rsidP="005D64D5">
      <w:pPr>
        <w:pStyle w:val="Standard"/>
        <w:spacing w:line="276" w:lineRule="auto"/>
        <w:rPr>
          <w:color w:val="1C1C1C"/>
          <w:sz w:val="28"/>
          <w:szCs w:val="28"/>
        </w:rPr>
      </w:pPr>
    </w:p>
    <w:p w:rsidR="005D64D5" w:rsidRDefault="005D64D5" w:rsidP="005D64D5">
      <w:pPr>
        <w:pStyle w:val="a3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b/>
          <w:sz w:val="24"/>
          <w:szCs w:val="24"/>
          <w:shd w:val="clear" w:color="auto" w:fill="FFFFFF"/>
        </w:rPr>
      </w:pPr>
    </w:p>
    <w:p w:rsidR="005D64D5" w:rsidRDefault="005D64D5" w:rsidP="005D64D5">
      <w:pPr>
        <w:pStyle w:val="a3"/>
        <w:widowControl w:val="0"/>
        <w:jc w:val="both"/>
        <w:rPr>
          <w:sz w:val="24"/>
          <w:szCs w:val="24"/>
        </w:rPr>
      </w:pPr>
    </w:p>
    <w:p w:rsidR="005D64D5" w:rsidRDefault="005D64D5" w:rsidP="005D64D5">
      <w:pPr>
        <w:pStyle w:val="Standard"/>
      </w:pPr>
      <w:r>
        <w:rPr>
          <w:color w:val="666666"/>
        </w:rPr>
        <w:lastRenderedPageBreak/>
        <w:t>Визирование:</w:t>
      </w: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Руководитель отдела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«23» апреля 2024 г.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>________________ М.О. Ягодкина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ab/>
      </w: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 xml:space="preserve">«23» апреля 2024 г. 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>________________ М.Н. Золотарева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ab/>
      </w: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Исполнитель: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Старший инспектор отдела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</w:p>
    <w:p w:rsidR="005D64D5" w:rsidRDefault="005D64D5" w:rsidP="005D64D5">
      <w:pPr>
        <w:pStyle w:val="Standard"/>
        <w:rPr>
          <w:color w:val="666666"/>
        </w:rPr>
      </w:pPr>
      <w:r>
        <w:rPr>
          <w:color w:val="666666"/>
        </w:rPr>
        <w:t>«23» апреля 2024 г.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>________________ Т.В. Турищева</w:t>
      </w:r>
    </w:p>
    <w:p w:rsidR="005D64D5" w:rsidRDefault="005D64D5" w:rsidP="005D64D5">
      <w:pPr>
        <w:pStyle w:val="Standard"/>
      </w:pPr>
    </w:p>
    <w:p w:rsidR="002773E3" w:rsidRDefault="002773E3">
      <w:bookmarkStart w:id="0" w:name="_GoBack"/>
      <w:bookmarkEnd w:id="0"/>
    </w:p>
    <w:sectPr w:rsidR="002773E3">
      <w:pgSz w:w="11906" w:h="16838"/>
      <w:pgMar w:top="1134" w:right="567" w:bottom="1134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C"/>
    <w:rsid w:val="000451AC"/>
    <w:rsid w:val="002773E3"/>
    <w:rsid w:val="005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44BE1-200F-4768-A2AB-2EFC1E29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4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rsid w:val="005D64D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2024-06-20T13:56:00Z</dcterms:created>
  <dcterms:modified xsi:type="dcterms:W3CDTF">2024-06-20T13:56:00Z</dcterms:modified>
</cp:coreProperties>
</file>