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20" w:rsidRPr="009A1DA9" w:rsidRDefault="007A7420" w:rsidP="009A1DA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9A1DA9">
        <w:rPr>
          <w:rFonts w:ascii="Arial" w:eastAsia="Times New Roman" w:hAnsi="Arial" w:cs="Arial"/>
          <w:sz w:val="24"/>
          <w:szCs w:val="26"/>
          <w:lang w:val="x-none" w:eastAsia="x-none"/>
        </w:rPr>
        <w:t>СОВЕТ НАРОДНЫХ ДЕПУТАТОВ</w:t>
      </w:r>
    </w:p>
    <w:p w:rsidR="007A7420" w:rsidRPr="009A1DA9" w:rsidRDefault="007A7420" w:rsidP="009A1DA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9A1DA9">
        <w:rPr>
          <w:rFonts w:ascii="Arial" w:eastAsia="Times New Roman" w:hAnsi="Arial" w:cs="Arial"/>
          <w:sz w:val="24"/>
          <w:szCs w:val="26"/>
          <w:lang w:eastAsia="x-none"/>
        </w:rPr>
        <w:t xml:space="preserve">ДЕВИЦКОГО СЕЛЬСКОГО </w:t>
      </w:r>
      <w:r w:rsidRPr="009A1DA9">
        <w:rPr>
          <w:rFonts w:ascii="Arial" w:eastAsia="Times New Roman" w:hAnsi="Arial" w:cs="Arial"/>
          <w:sz w:val="24"/>
          <w:szCs w:val="26"/>
          <w:lang w:val="x-none" w:eastAsia="x-none"/>
        </w:rPr>
        <w:t>ПОСЕЛЕНИЯ</w:t>
      </w:r>
    </w:p>
    <w:p w:rsidR="007A7420" w:rsidRPr="009A1DA9" w:rsidRDefault="007A7420" w:rsidP="009A1DA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9A1DA9">
        <w:rPr>
          <w:rFonts w:ascii="Arial" w:eastAsia="Times New Roman" w:hAnsi="Arial" w:cs="Arial"/>
          <w:sz w:val="24"/>
          <w:szCs w:val="26"/>
          <w:lang w:eastAsia="x-none"/>
        </w:rPr>
        <w:t>СЕМИЛУКСКОГО</w:t>
      </w:r>
      <w:r w:rsidRPr="009A1DA9">
        <w:rPr>
          <w:rFonts w:ascii="Arial" w:eastAsia="Times New Roman" w:hAnsi="Arial" w:cs="Arial"/>
          <w:sz w:val="24"/>
          <w:szCs w:val="26"/>
          <w:lang w:val="x-none" w:eastAsia="x-none"/>
        </w:rPr>
        <w:t xml:space="preserve"> МУНИЦИПАЛЬНОГО РАЙОНА</w:t>
      </w:r>
    </w:p>
    <w:p w:rsidR="007A7420" w:rsidRPr="009A1DA9" w:rsidRDefault="007A7420" w:rsidP="009A1DA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9A1DA9">
        <w:rPr>
          <w:rFonts w:ascii="Arial" w:eastAsia="Times New Roman" w:hAnsi="Arial" w:cs="Arial"/>
          <w:sz w:val="24"/>
          <w:szCs w:val="26"/>
          <w:lang w:val="x-none" w:eastAsia="x-none"/>
        </w:rPr>
        <w:t>ВОРОНЕЖСКОЙ ОБЛАСТИ</w:t>
      </w:r>
    </w:p>
    <w:p w:rsidR="007A7420" w:rsidRPr="009A1DA9" w:rsidRDefault="007A7420" w:rsidP="009A1DA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</w:p>
    <w:p w:rsidR="007A7420" w:rsidRPr="009A1DA9" w:rsidRDefault="007A7420" w:rsidP="009A1DA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val="x-none" w:eastAsia="x-none"/>
        </w:rPr>
      </w:pPr>
      <w:r w:rsidRPr="009A1DA9">
        <w:rPr>
          <w:rFonts w:ascii="Arial" w:eastAsia="Times New Roman" w:hAnsi="Arial" w:cs="Arial"/>
          <w:sz w:val="24"/>
          <w:szCs w:val="26"/>
          <w:lang w:val="x-none" w:eastAsia="x-none"/>
        </w:rPr>
        <w:t>Р Е Ш Е Н И Е</w:t>
      </w:r>
    </w:p>
    <w:p w:rsidR="007A7420" w:rsidRPr="009A1DA9" w:rsidRDefault="007A7420" w:rsidP="009A1D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x-none"/>
        </w:rPr>
      </w:pPr>
    </w:p>
    <w:p w:rsidR="007A7420" w:rsidRPr="009A1DA9" w:rsidRDefault="00213CD9" w:rsidP="009A1DA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 w:rsidRPr="009A1DA9">
        <w:rPr>
          <w:rFonts w:ascii="Arial" w:hAnsi="Arial" w:cs="Arial"/>
          <w:sz w:val="24"/>
          <w:szCs w:val="26"/>
        </w:rPr>
        <w:t xml:space="preserve">от </w:t>
      </w:r>
      <w:r w:rsidR="002945A7">
        <w:rPr>
          <w:rFonts w:ascii="Arial" w:hAnsi="Arial" w:cs="Arial"/>
          <w:sz w:val="24"/>
          <w:szCs w:val="26"/>
        </w:rPr>
        <w:t>17</w:t>
      </w:r>
      <w:r w:rsidRPr="009A1DA9">
        <w:rPr>
          <w:rFonts w:ascii="Arial" w:hAnsi="Arial" w:cs="Arial"/>
          <w:sz w:val="24"/>
          <w:szCs w:val="26"/>
        </w:rPr>
        <w:t>.11</w:t>
      </w:r>
      <w:r w:rsidR="00AF67FA" w:rsidRPr="009A1DA9">
        <w:rPr>
          <w:rFonts w:ascii="Arial" w:hAnsi="Arial" w:cs="Arial"/>
          <w:sz w:val="24"/>
          <w:szCs w:val="26"/>
        </w:rPr>
        <w:t>.2017</w:t>
      </w:r>
      <w:r w:rsidR="007A7420" w:rsidRPr="009A1DA9">
        <w:rPr>
          <w:rFonts w:ascii="Arial" w:hAnsi="Arial" w:cs="Arial"/>
          <w:sz w:val="24"/>
          <w:szCs w:val="26"/>
        </w:rPr>
        <w:t xml:space="preserve"> г. №</w:t>
      </w:r>
      <w:r w:rsidR="0001541B" w:rsidRPr="009A1DA9">
        <w:rPr>
          <w:rFonts w:ascii="Arial" w:hAnsi="Arial" w:cs="Arial"/>
          <w:sz w:val="24"/>
          <w:szCs w:val="26"/>
        </w:rPr>
        <w:t xml:space="preserve"> </w:t>
      </w:r>
      <w:r w:rsidR="002945A7">
        <w:rPr>
          <w:rFonts w:ascii="Arial" w:hAnsi="Arial" w:cs="Arial"/>
          <w:sz w:val="24"/>
          <w:szCs w:val="26"/>
        </w:rPr>
        <w:t>94</w:t>
      </w:r>
    </w:p>
    <w:p w:rsidR="007A7420" w:rsidRPr="009A1DA9" w:rsidRDefault="007A7420" w:rsidP="009A1DA9">
      <w:pPr>
        <w:spacing w:after="0" w:line="240" w:lineRule="auto"/>
        <w:jc w:val="both"/>
        <w:rPr>
          <w:rFonts w:ascii="Arial" w:hAnsi="Arial" w:cs="Arial"/>
          <w:sz w:val="24"/>
          <w:szCs w:val="26"/>
        </w:rPr>
      </w:pPr>
      <w:proofErr w:type="gramStart"/>
      <w:r w:rsidRPr="009A1DA9">
        <w:rPr>
          <w:rFonts w:ascii="Arial" w:hAnsi="Arial" w:cs="Arial"/>
          <w:sz w:val="24"/>
          <w:szCs w:val="26"/>
        </w:rPr>
        <w:t>с</w:t>
      </w:r>
      <w:proofErr w:type="gramEnd"/>
      <w:r w:rsidRPr="009A1DA9">
        <w:rPr>
          <w:rFonts w:ascii="Arial" w:hAnsi="Arial" w:cs="Arial"/>
          <w:sz w:val="24"/>
          <w:szCs w:val="26"/>
        </w:rPr>
        <w:t>. Девица</w:t>
      </w:r>
    </w:p>
    <w:p w:rsidR="00FA3C17" w:rsidRPr="009A1DA9" w:rsidRDefault="00FA3C17" w:rsidP="009A1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90E4E" w:rsidRPr="009A1DA9" w:rsidTr="00390E4E">
        <w:tc>
          <w:tcPr>
            <w:tcW w:w="4077" w:type="dxa"/>
          </w:tcPr>
          <w:p w:rsidR="00390E4E" w:rsidRPr="009A1DA9" w:rsidRDefault="00390E4E" w:rsidP="009A1DA9">
            <w:pPr>
              <w:jc w:val="both"/>
              <w:rPr>
                <w:rFonts w:ascii="Arial" w:eastAsia="Calibri" w:hAnsi="Arial" w:cs="Arial"/>
                <w:sz w:val="24"/>
                <w:szCs w:val="26"/>
              </w:rPr>
            </w:pPr>
            <w:r w:rsidRPr="009A1DA9">
              <w:rPr>
                <w:rFonts w:ascii="Arial" w:eastAsia="Calibri" w:hAnsi="Arial" w:cs="Arial"/>
                <w:sz w:val="24"/>
                <w:szCs w:val="26"/>
              </w:rPr>
              <w:t>О</w:t>
            </w:r>
            <w:r w:rsidR="00213CD9" w:rsidRPr="009A1DA9">
              <w:rPr>
                <w:rFonts w:ascii="Arial" w:eastAsia="Calibri" w:hAnsi="Arial" w:cs="Arial"/>
                <w:sz w:val="24"/>
                <w:szCs w:val="26"/>
              </w:rPr>
              <w:t xml:space="preserve"> налоге на </w:t>
            </w:r>
            <w:r w:rsidR="00D330DD" w:rsidRPr="009A1DA9">
              <w:rPr>
                <w:rFonts w:ascii="Arial" w:eastAsia="Calibri" w:hAnsi="Arial" w:cs="Arial"/>
                <w:sz w:val="24"/>
                <w:szCs w:val="26"/>
              </w:rPr>
              <w:t xml:space="preserve">имущество физических лиц на </w:t>
            </w:r>
            <w:r w:rsidR="00AF67FA" w:rsidRPr="009A1DA9">
              <w:rPr>
                <w:rFonts w:ascii="Arial" w:eastAsia="Calibri" w:hAnsi="Arial" w:cs="Arial"/>
                <w:sz w:val="24"/>
                <w:szCs w:val="26"/>
              </w:rPr>
              <w:t>2018</w:t>
            </w:r>
            <w:r w:rsidR="00213CD9" w:rsidRPr="009A1DA9">
              <w:rPr>
                <w:rFonts w:ascii="Arial" w:eastAsia="Calibri" w:hAnsi="Arial" w:cs="Arial"/>
                <w:sz w:val="24"/>
                <w:szCs w:val="26"/>
              </w:rPr>
              <w:t xml:space="preserve"> год</w:t>
            </w:r>
          </w:p>
        </w:tc>
        <w:bookmarkStart w:id="0" w:name="_GoBack"/>
        <w:bookmarkEnd w:id="0"/>
      </w:tr>
    </w:tbl>
    <w:p w:rsidR="00FA3C17" w:rsidRPr="009A1DA9" w:rsidRDefault="00FA3C17" w:rsidP="009A1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6"/>
        </w:rPr>
      </w:pPr>
    </w:p>
    <w:p w:rsidR="00FA3C17" w:rsidRPr="003471DC" w:rsidRDefault="00FA3C17" w:rsidP="009A1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6"/>
        </w:rPr>
      </w:pPr>
      <w:proofErr w:type="gramStart"/>
      <w:r w:rsidRPr="009A1DA9">
        <w:rPr>
          <w:rFonts w:ascii="Arial" w:hAnsi="Arial" w:cs="Arial"/>
          <w:bCs/>
          <w:sz w:val="24"/>
          <w:szCs w:val="26"/>
        </w:rPr>
        <w:t xml:space="preserve">В соответствии с </w:t>
      </w:r>
      <w:r w:rsidR="00213CD9" w:rsidRPr="009A1DA9">
        <w:rPr>
          <w:rFonts w:ascii="Arial" w:hAnsi="Arial" w:cs="Arial"/>
          <w:bCs/>
          <w:sz w:val="24"/>
          <w:szCs w:val="26"/>
        </w:rPr>
        <w:t>главой 3</w:t>
      </w:r>
      <w:r w:rsidR="00D330DD" w:rsidRPr="009A1DA9">
        <w:rPr>
          <w:rFonts w:ascii="Arial" w:hAnsi="Arial" w:cs="Arial"/>
          <w:bCs/>
          <w:sz w:val="24"/>
          <w:szCs w:val="26"/>
        </w:rPr>
        <w:t>2</w:t>
      </w:r>
      <w:r w:rsidR="00213CD9" w:rsidRPr="009A1DA9">
        <w:rPr>
          <w:rFonts w:ascii="Arial" w:hAnsi="Arial" w:cs="Arial"/>
          <w:bCs/>
          <w:sz w:val="24"/>
          <w:szCs w:val="26"/>
        </w:rPr>
        <w:t xml:space="preserve"> </w:t>
      </w:r>
      <w:r w:rsidR="00D330DD" w:rsidRPr="009A1DA9">
        <w:rPr>
          <w:rFonts w:ascii="Arial" w:hAnsi="Arial" w:cs="Arial"/>
          <w:bCs/>
          <w:sz w:val="24"/>
          <w:szCs w:val="26"/>
        </w:rPr>
        <w:t xml:space="preserve">«Налог на имущество физических лиц» </w:t>
      </w:r>
      <w:r w:rsidR="00213CD9" w:rsidRPr="009A1DA9">
        <w:rPr>
          <w:rFonts w:ascii="Arial" w:hAnsi="Arial" w:cs="Arial"/>
          <w:bCs/>
          <w:sz w:val="24"/>
          <w:szCs w:val="26"/>
        </w:rPr>
        <w:t>Налогового к</w:t>
      </w:r>
      <w:r w:rsidRPr="009A1DA9">
        <w:rPr>
          <w:rFonts w:ascii="Arial" w:hAnsi="Arial" w:cs="Arial"/>
          <w:bCs/>
          <w:sz w:val="24"/>
          <w:szCs w:val="26"/>
        </w:rPr>
        <w:t xml:space="preserve">одекса Российской Федерации, </w:t>
      </w:r>
      <w:r w:rsidR="00D330DD" w:rsidRPr="009A1DA9">
        <w:rPr>
          <w:rFonts w:ascii="Arial" w:hAnsi="Arial" w:cs="Arial"/>
          <w:bCs/>
          <w:sz w:val="24"/>
          <w:szCs w:val="26"/>
        </w:rPr>
        <w:t>законом Воронежской области от 19.06.2015 г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</w:t>
      </w:r>
      <w:r w:rsidR="00213CD9" w:rsidRPr="009A1DA9">
        <w:rPr>
          <w:rFonts w:ascii="Arial" w:hAnsi="Arial" w:cs="Arial"/>
          <w:bCs/>
          <w:sz w:val="24"/>
          <w:szCs w:val="26"/>
        </w:rPr>
        <w:t xml:space="preserve"> г. № </w:t>
      </w:r>
      <w:r w:rsidR="00D330DD" w:rsidRPr="009A1DA9">
        <w:rPr>
          <w:rFonts w:ascii="Arial" w:hAnsi="Arial" w:cs="Arial"/>
          <w:bCs/>
          <w:sz w:val="24"/>
          <w:szCs w:val="26"/>
        </w:rPr>
        <w:t>131</w:t>
      </w:r>
      <w:r w:rsidR="00213CD9" w:rsidRPr="009A1DA9">
        <w:rPr>
          <w:rFonts w:ascii="Arial" w:hAnsi="Arial" w:cs="Arial"/>
          <w:bCs/>
          <w:sz w:val="24"/>
          <w:szCs w:val="26"/>
        </w:rPr>
        <w:t>-ФЗ «</w:t>
      </w:r>
      <w:r w:rsidR="00D330DD" w:rsidRPr="009A1DA9">
        <w:rPr>
          <w:rFonts w:ascii="Arial" w:hAnsi="Arial" w:cs="Arial"/>
          <w:bCs/>
          <w:sz w:val="24"/>
          <w:szCs w:val="26"/>
        </w:rPr>
        <w:t>Об общих принципах организации местного самоуправления</w:t>
      </w:r>
      <w:proofErr w:type="gramEnd"/>
      <w:r w:rsidR="00D330DD" w:rsidRPr="009A1DA9">
        <w:rPr>
          <w:rFonts w:ascii="Arial" w:hAnsi="Arial" w:cs="Arial"/>
          <w:bCs/>
          <w:sz w:val="24"/>
          <w:szCs w:val="26"/>
        </w:rPr>
        <w:t xml:space="preserve"> в Российской Федерации» и на основании</w:t>
      </w:r>
      <w:r w:rsidR="00165186" w:rsidRPr="009A1DA9">
        <w:rPr>
          <w:rFonts w:ascii="Arial" w:hAnsi="Arial" w:cs="Arial"/>
          <w:sz w:val="24"/>
          <w:szCs w:val="26"/>
        </w:rPr>
        <w:t xml:space="preserve"> </w:t>
      </w:r>
      <w:r w:rsidR="00165186" w:rsidRPr="009A1DA9">
        <w:rPr>
          <w:rFonts w:ascii="Arial" w:hAnsi="Arial" w:cs="Arial"/>
          <w:bCs/>
          <w:sz w:val="24"/>
          <w:szCs w:val="26"/>
        </w:rPr>
        <w:t>Устав</w:t>
      </w:r>
      <w:r w:rsidR="00D330DD" w:rsidRPr="009A1DA9">
        <w:rPr>
          <w:rFonts w:ascii="Arial" w:hAnsi="Arial" w:cs="Arial"/>
          <w:bCs/>
          <w:sz w:val="24"/>
          <w:szCs w:val="26"/>
        </w:rPr>
        <w:t>а</w:t>
      </w:r>
      <w:r w:rsidR="00165186" w:rsidRPr="009A1DA9">
        <w:rPr>
          <w:rFonts w:ascii="Arial" w:hAnsi="Arial" w:cs="Arial"/>
          <w:bCs/>
          <w:sz w:val="24"/>
          <w:szCs w:val="26"/>
        </w:rPr>
        <w:t xml:space="preserve"> Девицкого сельского поселения</w:t>
      </w:r>
      <w:r w:rsidR="00213CD9" w:rsidRPr="009A1DA9">
        <w:rPr>
          <w:rFonts w:ascii="Arial" w:hAnsi="Arial" w:cs="Arial"/>
          <w:bCs/>
          <w:sz w:val="24"/>
          <w:szCs w:val="26"/>
        </w:rPr>
        <w:t>,</w:t>
      </w:r>
      <w:r w:rsidRPr="009A1DA9">
        <w:rPr>
          <w:rFonts w:ascii="Arial" w:hAnsi="Arial" w:cs="Arial"/>
          <w:bCs/>
          <w:sz w:val="24"/>
          <w:szCs w:val="26"/>
        </w:rPr>
        <w:t xml:space="preserve"> Совет народных депутатов Девицкого сельского поселения Семилукского муниципального района Воронежской области</w:t>
      </w:r>
    </w:p>
    <w:p w:rsidR="009A1DA9" w:rsidRPr="003471DC" w:rsidRDefault="009A1DA9" w:rsidP="009A1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6"/>
        </w:rPr>
      </w:pPr>
    </w:p>
    <w:p w:rsidR="00FA3C17" w:rsidRPr="009A1DA9" w:rsidRDefault="00FA3C17" w:rsidP="009A1D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6"/>
        </w:rPr>
      </w:pPr>
      <w:proofErr w:type="gramStart"/>
      <w:r w:rsidRPr="009A1DA9">
        <w:rPr>
          <w:rFonts w:ascii="Arial" w:hAnsi="Arial" w:cs="Arial"/>
          <w:bCs/>
          <w:sz w:val="24"/>
          <w:szCs w:val="26"/>
        </w:rPr>
        <w:t>Р</w:t>
      </w:r>
      <w:proofErr w:type="gramEnd"/>
      <w:r w:rsidRPr="009A1DA9">
        <w:rPr>
          <w:rFonts w:ascii="Arial" w:hAnsi="Arial" w:cs="Arial"/>
          <w:bCs/>
          <w:sz w:val="24"/>
          <w:szCs w:val="26"/>
        </w:rPr>
        <w:t xml:space="preserve"> Е Ш И Л:</w:t>
      </w:r>
    </w:p>
    <w:p w:rsidR="00FA3C17" w:rsidRPr="009A1DA9" w:rsidRDefault="00FA3C17" w:rsidP="009A1D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</w:p>
    <w:p w:rsidR="00213CD9" w:rsidRPr="009A1DA9" w:rsidRDefault="00803C3B" w:rsidP="009A1DA9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9A1DA9">
        <w:rPr>
          <w:rFonts w:ascii="Arial" w:eastAsia="Times New Roman" w:hAnsi="Arial" w:cs="Arial"/>
          <w:sz w:val="24"/>
          <w:szCs w:val="26"/>
        </w:rPr>
        <w:t>1.</w:t>
      </w:r>
      <w:r w:rsidR="00FA3C17" w:rsidRPr="009A1DA9">
        <w:rPr>
          <w:rFonts w:ascii="Arial" w:eastAsia="Times New Roman" w:hAnsi="Arial" w:cs="Arial"/>
          <w:sz w:val="24"/>
          <w:szCs w:val="26"/>
        </w:rPr>
        <w:t>У</w:t>
      </w:r>
      <w:r w:rsidR="00165186" w:rsidRPr="009A1DA9">
        <w:rPr>
          <w:rFonts w:ascii="Arial" w:eastAsia="Times New Roman" w:hAnsi="Arial" w:cs="Arial"/>
          <w:sz w:val="24"/>
          <w:szCs w:val="26"/>
        </w:rPr>
        <w:t>становить</w:t>
      </w:r>
      <w:r w:rsidR="00CE5750" w:rsidRPr="009A1DA9">
        <w:rPr>
          <w:rFonts w:ascii="Arial" w:eastAsia="Times New Roman" w:hAnsi="Arial" w:cs="Arial"/>
          <w:sz w:val="24"/>
          <w:szCs w:val="26"/>
        </w:rPr>
        <w:t xml:space="preserve"> и ввести в действие на территории Девицкого сел</w:t>
      </w:r>
      <w:r w:rsidR="00AF67FA" w:rsidRPr="009A1DA9">
        <w:rPr>
          <w:rFonts w:ascii="Arial" w:eastAsia="Times New Roman" w:hAnsi="Arial" w:cs="Arial"/>
          <w:sz w:val="24"/>
          <w:szCs w:val="26"/>
        </w:rPr>
        <w:t>ьского поселения с 1 января 2018</w:t>
      </w:r>
      <w:r w:rsidR="00CE5750" w:rsidRPr="009A1DA9">
        <w:rPr>
          <w:rFonts w:ascii="Arial" w:eastAsia="Times New Roman" w:hAnsi="Arial" w:cs="Arial"/>
          <w:sz w:val="24"/>
          <w:szCs w:val="26"/>
        </w:rPr>
        <w:t xml:space="preserve"> года налог на имущество физических лиц.</w:t>
      </w:r>
    </w:p>
    <w:p w:rsidR="00CE5750" w:rsidRPr="009A1DA9" w:rsidRDefault="00CE5750" w:rsidP="009A1DA9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9A1DA9">
        <w:rPr>
          <w:rFonts w:ascii="Arial" w:eastAsia="Times New Roman" w:hAnsi="Arial" w:cs="Arial"/>
          <w:sz w:val="24"/>
          <w:szCs w:val="26"/>
        </w:rPr>
        <w:t>2</w:t>
      </w:r>
      <w:r w:rsidR="00213CD9" w:rsidRPr="009A1DA9">
        <w:rPr>
          <w:rFonts w:ascii="Arial" w:eastAsia="Times New Roman" w:hAnsi="Arial" w:cs="Arial"/>
          <w:sz w:val="24"/>
          <w:szCs w:val="26"/>
        </w:rPr>
        <w:t xml:space="preserve">. </w:t>
      </w:r>
      <w:r w:rsidRPr="009A1DA9">
        <w:rPr>
          <w:rFonts w:ascii="Arial" w:eastAsia="Times New Roman" w:hAnsi="Arial" w:cs="Arial"/>
          <w:sz w:val="24"/>
          <w:szCs w:val="26"/>
        </w:rPr>
        <w:t>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CE5750" w:rsidRPr="009A1DA9" w:rsidRDefault="00CE5750" w:rsidP="009A1DA9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9A1DA9">
        <w:rPr>
          <w:rFonts w:ascii="Arial" w:eastAsia="Times New Roman" w:hAnsi="Arial" w:cs="Arial"/>
          <w:sz w:val="24"/>
          <w:szCs w:val="26"/>
        </w:rPr>
        <w:t>3</w:t>
      </w:r>
      <w:r w:rsidR="00213CD9" w:rsidRPr="009A1DA9">
        <w:rPr>
          <w:rFonts w:ascii="Arial" w:eastAsia="Times New Roman" w:hAnsi="Arial" w:cs="Arial"/>
          <w:sz w:val="24"/>
          <w:szCs w:val="26"/>
        </w:rPr>
        <w:t xml:space="preserve">. </w:t>
      </w:r>
      <w:r w:rsidRPr="009A1DA9">
        <w:rPr>
          <w:rFonts w:ascii="Arial" w:eastAsia="Times New Roman" w:hAnsi="Arial" w:cs="Arial"/>
          <w:sz w:val="24"/>
          <w:szCs w:val="26"/>
        </w:rPr>
        <w:t>Установить ставки налога на имущество физических лиц в следующих размерах:</w:t>
      </w:r>
    </w:p>
    <w:p w:rsidR="008657FC" w:rsidRPr="009A1DA9" w:rsidRDefault="008657FC" w:rsidP="009A1DA9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2375"/>
      </w:tblGrid>
      <w:tr w:rsidR="008657FC" w:rsidRPr="009A1DA9" w:rsidTr="008657FC">
        <w:tc>
          <w:tcPr>
            <w:tcW w:w="1951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 xml:space="preserve">№ </w:t>
            </w:r>
            <w:proofErr w:type="gramStart"/>
            <w:r w:rsidRPr="009A1DA9">
              <w:rPr>
                <w:rFonts w:ascii="Arial" w:eastAsia="Times New Roman" w:hAnsi="Arial" w:cs="Arial"/>
                <w:sz w:val="24"/>
                <w:szCs w:val="26"/>
              </w:rPr>
              <w:t>п</w:t>
            </w:r>
            <w:proofErr w:type="gramEnd"/>
            <w:r w:rsidRPr="009A1DA9">
              <w:rPr>
                <w:rFonts w:ascii="Arial" w:eastAsia="Times New Roman" w:hAnsi="Arial" w:cs="Arial"/>
                <w:sz w:val="24"/>
                <w:szCs w:val="26"/>
              </w:rPr>
              <w:t>/п.</w:t>
            </w:r>
          </w:p>
        </w:tc>
        <w:tc>
          <w:tcPr>
            <w:tcW w:w="524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Объекты налогообложения.</w:t>
            </w:r>
          </w:p>
        </w:tc>
        <w:tc>
          <w:tcPr>
            <w:tcW w:w="237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Ставка налога, %</w:t>
            </w:r>
          </w:p>
        </w:tc>
      </w:tr>
      <w:tr w:rsidR="008657FC" w:rsidRPr="009A1DA9" w:rsidTr="008657FC">
        <w:tc>
          <w:tcPr>
            <w:tcW w:w="1951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1.</w:t>
            </w:r>
          </w:p>
        </w:tc>
        <w:tc>
          <w:tcPr>
            <w:tcW w:w="524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- жилые дома,</w:t>
            </w:r>
            <w:r w:rsidR="009A1DA9" w:rsidRPr="009A1DA9">
              <w:rPr>
                <w:rFonts w:ascii="Arial" w:eastAsia="Times New Roman" w:hAnsi="Arial" w:cs="Arial"/>
                <w:sz w:val="24"/>
                <w:szCs w:val="26"/>
              </w:rPr>
              <w:t xml:space="preserve"> </w:t>
            </w:r>
            <w:r w:rsidR="00AF67FA" w:rsidRPr="009A1DA9">
              <w:rPr>
                <w:rFonts w:ascii="Arial" w:eastAsia="Times New Roman" w:hAnsi="Arial" w:cs="Arial"/>
                <w:sz w:val="24"/>
                <w:szCs w:val="26"/>
              </w:rPr>
              <w:t>квартиры, комнаты</w:t>
            </w: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;</w:t>
            </w:r>
          </w:p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- единые недвижимые комплексы, в состав которых входит хотя бы одно жилое помещение (жилой дом);</w:t>
            </w:r>
          </w:p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- гаражи и машино-места;</w:t>
            </w:r>
          </w:p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- 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 индивидуального жилищного строительства</w:t>
            </w:r>
          </w:p>
        </w:tc>
        <w:tc>
          <w:tcPr>
            <w:tcW w:w="237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0,3</w:t>
            </w:r>
          </w:p>
        </w:tc>
      </w:tr>
      <w:tr w:rsidR="008657FC" w:rsidRPr="009A1DA9" w:rsidTr="008657FC">
        <w:tc>
          <w:tcPr>
            <w:tcW w:w="1951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2.</w:t>
            </w:r>
          </w:p>
        </w:tc>
        <w:tc>
          <w:tcPr>
            <w:tcW w:w="524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 xml:space="preserve">- объекты налогообложения, включенных в перечень, определяемый в соответствии с </w:t>
            </w:r>
            <w:r w:rsidRPr="009A1DA9">
              <w:rPr>
                <w:rFonts w:ascii="Arial" w:eastAsia="Times New Roman" w:hAnsi="Arial" w:cs="Arial"/>
                <w:sz w:val="24"/>
                <w:szCs w:val="26"/>
              </w:rPr>
              <w:lastRenderedPageBreak/>
              <w:t>пунктом 7 статьи 378.2 Налогового кодекса Российской Федерации, объектов налогообложения, предусмотренных абзацем 2 пункта 10 статьи 378.2 Налогового кодекса Российской Федерации;</w:t>
            </w:r>
          </w:p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- объекты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2 пункта 10 статьи 378.2 Налогового кодекса Российской Федерации; 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237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lastRenderedPageBreak/>
              <w:t>2</w:t>
            </w:r>
          </w:p>
        </w:tc>
      </w:tr>
      <w:tr w:rsidR="008657FC" w:rsidRPr="009A1DA9" w:rsidTr="008657FC">
        <w:tc>
          <w:tcPr>
            <w:tcW w:w="1951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lastRenderedPageBreak/>
              <w:t>3.</w:t>
            </w:r>
          </w:p>
        </w:tc>
        <w:tc>
          <w:tcPr>
            <w:tcW w:w="524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Прочие</w:t>
            </w:r>
          </w:p>
        </w:tc>
        <w:tc>
          <w:tcPr>
            <w:tcW w:w="2375" w:type="dxa"/>
          </w:tcPr>
          <w:p w:rsidR="008657FC" w:rsidRPr="009A1DA9" w:rsidRDefault="008657FC" w:rsidP="009A1DA9">
            <w:pPr>
              <w:widowControl w:val="0"/>
              <w:tabs>
                <w:tab w:val="left" w:pos="14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0,5</w:t>
            </w:r>
          </w:p>
        </w:tc>
      </w:tr>
    </w:tbl>
    <w:p w:rsidR="0001541B" w:rsidRPr="009A1DA9" w:rsidRDefault="0001541B" w:rsidP="009A1DA9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</w:p>
    <w:p w:rsidR="00FA3C17" w:rsidRPr="009A1DA9" w:rsidRDefault="008657FC" w:rsidP="009A1DA9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9A1DA9">
        <w:rPr>
          <w:rFonts w:ascii="Arial" w:eastAsia="Times New Roman" w:hAnsi="Arial" w:cs="Arial"/>
          <w:sz w:val="24"/>
          <w:szCs w:val="26"/>
        </w:rPr>
        <w:t>4</w:t>
      </w:r>
      <w:r w:rsidR="00803C3B" w:rsidRPr="009A1DA9">
        <w:rPr>
          <w:rFonts w:ascii="Arial" w:eastAsia="Times New Roman" w:hAnsi="Arial" w:cs="Arial"/>
          <w:sz w:val="24"/>
          <w:szCs w:val="26"/>
        </w:rPr>
        <w:t>.</w:t>
      </w:r>
      <w:r w:rsidR="00162B2A" w:rsidRPr="009A1DA9">
        <w:rPr>
          <w:rFonts w:ascii="Arial" w:eastAsia="Times New Roman" w:hAnsi="Arial" w:cs="Arial"/>
          <w:sz w:val="24"/>
          <w:szCs w:val="26"/>
        </w:rPr>
        <w:t xml:space="preserve"> </w:t>
      </w:r>
      <w:r w:rsidR="0068264F" w:rsidRPr="009A1DA9">
        <w:rPr>
          <w:rFonts w:ascii="Arial" w:eastAsia="Times New Roman" w:hAnsi="Arial" w:cs="Arial"/>
          <w:sz w:val="24"/>
          <w:szCs w:val="26"/>
        </w:rPr>
        <w:t>Р</w:t>
      </w:r>
      <w:r w:rsidR="00FA3C17" w:rsidRPr="009A1DA9">
        <w:rPr>
          <w:rFonts w:ascii="Arial" w:eastAsia="Times New Roman" w:hAnsi="Arial" w:cs="Arial"/>
          <w:sz w:val="24"/>
          <w:szCs w:val="26"/>
        </w:rPr>
        <w:t xml:space="preserve">ешение вступает в силу </w:t>
      </w:r>
      <w:r w:rsidR="00AF67FA" w:rsidRPr="009A1DA9">
        <w:rPr>
          <w:rFonts w:ascii="Arial" w:eastAsia="Times New Roman" w:hAnsi="Arial" w:cs="Arial"/>
          <w:sz w:val="24"/>
          <w:szCs w:val="26"/>
        </w:rPr>
        <w:t>с 01.01.2018</w:t>
      </w:r>
      <w:r w:rsidR="00162B2A" w:rsidRPr="009A1DA9">
        <w:rPr>
          <w:rFonts w:ascii="Arial" w:eastAsia="Times New Roman" w:hAnsi="Arial" w:cs="Arial"/>
          <w:sz w:val="24"/>
          <w:szCs w:val="26"/>
        </w:rPr>
        <w:t xml:space="preserve"> года</w:t>
      </w:r>
      <w:r w:rsidR="0068264F" w:rsidRPr="009A1DA9">
        <w:rPr>
          <w:rFonts w:ascii="Arial" w:eastAsia="Times New Roman" w:hAnsi="Arial" w:cs="Arial"/>
          <w:sz w:val="24"/>
          <w:szCs w:val="26"/>
        </w:rPr>
        <w:t>, но не ранее чем по истечении одного месяца со дня его опубликования и не ранее 1-го числа очередного налогового периода</w:t>
      </w:r>
      <w:r w:rsidR="00FA3C17" w:rsidRPr="009A1DA9">
        <w:rPr>
          <w:rFonts w:ascii="Arial" w:eastAsia="Times New Roman" w:hAnsi="Arial" w:cs="Arial"/>
          <w:sz w:val="24"/>
          <w:szCs w:val="26"/>
        </w:rPr>
        <w:t>.</w:t>
      </w:r>
    </w:p>
    <w:p w:rsidR="00162B2A" w:rsidRPr="009A1DA9" w:rsidRDefault="008657FC" w:rsidP="009A1DA9">
      <w:pPr>
        <w:widowControl w:val="0"/>
        <w:tabs>
          <w:tab w:val="left" w:pos="14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9A1DA9">
        <w:rPr>
          <w:rFonts w:ascii="Arial" w:eastAsia="Times New Roman" w:hAnsi="Arial" w:cs="Arial"/>
          <w:sz w:val="24"/>
          <w:szCs w:val="26"/>
        </w:rPr>
        <w:t>5</w:t>
      </w:r>
      <w:r w:rsidR="00162B2A" w:rsidRPr="009A1DA9">
        <w:rPr>
          <w:rFonts w:ascii="Arial" w:eastAsia="Times New Roman" w:hAnsi="Arial" w:cs="Arial"/>
          <w:sz w:val="24"/>
          <w:szCs w:val="26"/>
        </w:rPr>
        <w:t>. Настоящее решение подлежит опубликованию в районной газете «Семилукская жизнь».</w:t>
      </w:r>
    </w:p>
    <w:p w:rsidR="00390E4E" w:rsidRPr="009A1DA9" w:rsidRDefault="008657FC" w:rsidP="009A1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  <w:r w:rsidRPr="009A1DA9">
        <w:rPr>
          <w:rFonts w:ascii="Arial" w:eastAsia="Times New Roman" w:hAnsi="Arial" w:cs="Arial"/>
          <w:sz w:val="24"/>
          <w:szCs w:val="26"/>
        </w:rPr>
        <w:t>6</w:t>
      </w:r>
      <w:r w:rsidR="00803C3B" w:rsidRPr="009A1DA9">
        <w:rPr>
          <w:rFonts w:ascii="Arial" w:eastAsia="Times New Roman" w:hAnsi="Arial" w:cs="Arial"/>
          <w:sz w:val="24"/>
          <w:szCs w:val="26"/>
        </w:rPr>
        <w:t>.</w:t>
      </w:r>
      <w:r w:rsidR="009B54D5" w:rsidRPr="009A1DA9">
        <w:rPr>
          <w:rFonts w:ascii="Arial" w:eastAsia="Times New Roman" w:hAnsi="Arial" w:cs="Arial"/>
          <w:sz w:val="24"/>
          <w:szCs w:val="26"/>
        </w:rPr>
        <w:t xml:space="preserve"> </w:t>
      </w:r>
      <w:proofErr w:type="gramStart"/>
      <w:r w:rsidR="00FA3C17" w:rsidRPr="009A1DA9">
        <w:rPr>
          <w:rFonts w:ascii="Arial" w:eastAsia="Times New Roman" w:hAnsi="Arial" w:cs="Arial"/>
          <w:sz w:val="24"/>
          <w:szCs w:val="26"/>
        </w:rPr>
        <w:t>Контроль за</w:t>
      </w:r>
      <w:proofErr w:type="gramEnd"/>
      <w:r w:rsidR="00FA3C17" w:rsidRPr="009A1DA9">
        <w:rPr>
          <w:rFonts w:ascii="Arial" w:eastAsia="Times New Roman" w:hAnsi="Arial" w:cs="Arial"/>
          <w:sz w:val="24"/>
          <w:szCs w:val="26"/>
        </w:rPr>
        <w:t xml:space="preserve"> исполнением решения оставляю за собой.</w:t>
      </w:r>
      <w:r w:rsidR="009A1DA9" w:rsidRPr="009A1DA9">
        <w:rPr>
          <w:rFonts w:ascii="Arial" w:eastAsia="Times New Roman" w:hAnsi="Arial" w:cs="Arial"/>
          <w:sz w:val="24"/>
          <w:szCs w:val="26"/>
        </w:rPr>
        <w:t xml:space="preserve"> </w:t>
      </w:r>
    </w:p>
    <w:p w:rsidR="00390E4E" w:rsidRPr="009A1DA9" w:rsidRDefault="00390E4E" w:rsidP="009A1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0E4E" w:rsidRPr="009A1DA9" w:rsidTr="00390E4E">
        <w:tc>
          <w:tcPr>
            <w:tcW w:w="4785" w:type="dxa"/>
          </w:tcPr>
          <w:p w:rsidR="00390E4E" w:rsidRPr="009A1DA9" w:rsidRDefault="00390E4E" w:rsidP="009A1DA9">
            <w:pPr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Глава Девицкого</w:t>
            </w:r>
          </w:p>
          <w:p w:rsidR="00390E4E" w:rsidRPr="009A1DA9" w:rsidRDefault="00390E4E" w:rsidP="009A1DA9">
            <w:pPr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 w:rsidRPr="009A1DA9">
              <w:rPr>
                <w:rFonts w:ascii="Arial" w:eastAsia="Times New Roman" w:hAnsi="Arial" w:cs="Arial"/>
                <w:sz w:val="24"/>
                <w:szCs w:val="26"/>
              </w:rPr>
              <w:t>сельского поселения</w:t>
            </w:r>
          </w:p>
        </w:tc>
        <w:tc>
          <w:tcPr>
            <w:tcW w:w="4786" w:type="dxa"/>
          </w:tcPr>
          <w:p w:rsidR="00390E4E" w:rsidRPr="009A1DA9" w:rsidRDefault="009A1DA9" w:rsidP="009A1DA9">
            <w:pPr>
              <w:jc w:val="both"/>
              <w:rPr>
                <w:rFonts w:ascii="Arial" w:eastAsia="Times New Roman" w:hAnsi="Arial" w:cs="Arial"/>
                <w:sz w:val="24"/>
                <w:szCs w:val="26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val="en-US"/>
              </w:rPr>
              <w:t xml:space="preserve">                                           </w:t>
            </w:r>
            <w:r w:rsidR="00390E4E" w:rsidRPr="009A1DA9">
              <w:rPr>
                <w:rFonts w:ascii="Arial" w:eastAsia="Times New Roman" w:hAnsi="Arial" w:cs="Arial"/>
                <w:sz w:val="24"/>
                <w:szCs w:val="26"/>
              </w:rPr>
              <w:t>В.Ф. Павляшек</w:t>
            </w:r>
          </w:p>
        </w:tc>
      </w:tr>
    </w:tbl>
    <w:p w:rsidR="00390E4E" w:rsidRPr="009A1DA9" w:rsidRDefault="00390E4E" w:rsidP="009A1DA9">
      <w:pPr>
        <w:spacing w:after="0" w:line="240" w:lineRule="auto"/>
        <w:jc w:val="both"/>
        <w:rPr>
          <w:rFonts w:ascii="Arial" w:eastAsia="Times New Roman" w:hAnsi="Arial" w:cs="Arial"/>
          <w:sz w:val="24"/>
          <w:szCs w:val="26"/>
        </w:rPr>
      </w:pPr>
    </w:p>
    <w:sectPr w:rsidR="00390E4E" w:rsidRPr="009A1DA9" w:rsidSect="00803C3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4B" w:rsidRDefault="0094684B" w:rsidP="00FA3C17">
      <w:pPr>
        <w:spacing w:after="0" w:line="240" w:lineRule="auto"/>
      </w:pPr>
      <w:r>
        <w:separator/>
      </w:r>
    </w:p>
  </w:endnote>
  <w:endnote w:type="continuationSeparator" w:id="0">
    <w:p w:rsidR="0094684B" w:rsidRDefault="0094684B" w:rsidP="00F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4B" w:rsidRDefault="0094684B" w:rsidP="00FA3C17">
      <w:pPr>
        <w:spacing w:after="0" w:line="240" w:lineRule="auto"/>
      </w:pPr>
      <w:r>
        <w:separator/>
      </w:r>
    </w:p>
  </w:footnote>
  <w:footnote w:type="continuationSeparator" w:id="0">
    <w:p w:rsidR="0094684B" w:rsidRDefault="0094684B" w:rsidP="00FA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9D3"/>
    <w:multiLevelType w:val="hybridMultilevel"/>
    <w:tmpl w:val="9D96EDAC"/>
    <w:lvl w:ilvl="0" w:tplc="8542B14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D50BA7"/>
    <w:multiLevelType w:val="hybridMultilevel"/>
    <w:tmpl w:val="B1AA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7"/>
    <w:rsid w:val="0001541B"/>
    <w:rsid w:val="00092EA7"/>
    <w:rsid w:val="000D1CD2"/>
    <w:rsid w:val="001016BA"/>
    <w:rsid w:val="0010360D"/>
    <w:rsid w:val="00162B2A"/>
    <w:rsid w:val="00165186"/>
    <w:rsid w:val="00181386"/>
    <w:rsid w:val="00184E8D"/>
    <w:rsid w:val="00213CD9"/>
    <w:rsid w:val="00230CF7"/>
    <w:rsid w:val="002945A7"/>
    <w:rsid w:val="002C1330"/>
    <w:rsid w:val="00310CFE"/>
    <w:rsid w:val="003423CC"/>
    <w:rsid w:val="00345A74"/>
    <w:rsid w:val="003471DC"/>
    <w:rsid w:val="00390E4E"/>
    <w:rsid w:val="003B7E73"/>
    <w:rsid w:val="004D5A57"/>
    <w:rsid w:val="004F3551"/>
    <w:rsid w:val="00594892"/>
    <w:rsid w:val="005B4C51"/>
    <w:rsid w:val="005C3B94"/>
    <w:rsid w:val="005E17EA"/>
    <w:rsid w:val="00635B27"/>
    <w:rsid w:val="0068264F"/>
    <w:rsid w:val="0069017D"/>
    <w:rsid w:val="006B20B3"/>
    <w:rsid w:val="006F5CAD"/>
    <w:rsid w:val="00744EC5"/>
    <w:rsid w:val="007505D2"/>
    <w:rsid w:val="007A7420"/>
    <w:rsid w:val="00803C3B"/>
    <w:rsid w:val="008657FC"/>
    <w:rsid w:val="008E26DC"/>
    <w:rsid w:val="0094684B"/>
    <w:rsid w:val="0096130C"/>
    <w:rsid w:val="009A1DA9"/>
    <w:rsid w:val="009B54D5"/>
    <w:rsid w:val="009D71AF"/>
    <w:rsid w:val="00AF67FA"/>
    <w:rsid w:val="00B477F2"/>
    <w:rsid w:val="00BB0BA5"/>
    <w:rsid w:val="00C44138"/>
    <w:rsid w:val="00CE5750"/>
    <w:rsid w:val="00D330DD"/>
    <w:rsid w:val="00D444DC"/>
    <w:rsid w:val="00D67F59"/>
    <w:rsid w:val="00E02B65"/>
    <w:rsid w:val="00E860C9"/>
    <w:rsid w:val="00E9454A"/>
    <w:rsid w:val="00F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3C17"/>
  </w:style>
  <w:style w:type="paragraph" w:styleId="a6">
    <w:name w:val="footer"/>
    <w:basedOn w:val="a"/>
    <w:link w:val="a7"/>
    <w:uiPriority w:val="99"/>
    <w:unhideWhenUsed/>
    <w:rsid w:val="00FA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17"/>
  </w:style>
  <w:style w:type="table" w:styleId="a8">
    <w:name w:val="Table Grid"/>
    <w:basedOn w:val="a1"/>
    <w:uiPriority w:val="59"/>
    <w:rsid w:val="0039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114D6F-9EA4-4525-857F-5FB9466E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2017-11-13T10:48:00Z</cp:lastPrinted>
  <dcterms:created xsi:type="dcterms:W3CDTF">2016-11-14T08:00:00Z</dcterms:created>
  <dcterms:modified xsi:type="dcterms:W3CDTF">2017-11-16T10:53:00Z</dcterms:modified>
</cp:coreProperties>
</file>